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6340" w14:textId="77777777" w:rsidR="004A23DC" w:rsidRDefault="00000000">
      <w:pPr>
        <w:spacing w:before="120" w:after="120"/>
        <w:jc w:val="center"/>
      </w:pPr>
      <w:r>
        <w:rPr>
          <w:noProof/>
        </w:rPr>
        <w:drawing>
          <wp:anchor distT="0" distB="0" distL="114300" distR="114300" simplePos="0" relativeHeight="251658240" behindDoc="0" locked="0" layoutInCell="1" allowOverlap="1" wp14:anchorId="2B38F362" wp14:editId="42DDB4CB">
            <wp:simplePos x="0" y="0"/>
            <wp:positionH relativeFrom="page">
              <wp:posOffset>0</wp:posOffset>
            </wp:positionH>
            <wp:positionV relativeFrom="page">
              <wp:posOffset>0</wp:posOffset>
            </wp:positionV>
            <wp:extent cx="7562850" cy="2268855"/>
            <wp:effectExtent l="0" t="0" r="0" b="0"/>
            <wp:wrapTopAndBottom/>
            <wp:docPr id="650105407" name="Drawing 0" descr="1282c8896-29e2-4f60-82e3-e6b46fe69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282c8896-29e2-4f60-82e3-e6b46fe69841.png"/>
                    <pic:cNvPicPr>
                      <a:picLocks noChangeAspect="1"/>
                    </pic:cNvPicPr>
                  </pic:nvPicPr>
                  <pic:blipFill>
                    <a:blip r:embed="rId5"/>
                    <a:stretch>
                      <a:fillRect/>
                    </a:stretch>
                  </pic:blipFill>
                  <pic:spPr>
                    <a:xfrm>
                      <a:off x="0" y="0"/>
                      <a:ext cx="7562850" cy="2268855"/>
                    </a:xfrm>
                    <a:prstGeom prst="rect">
                      <a:avLst/>
                    </a:prstGeom>
                  </pic:spPr>
                </pic:pic>
              </a:graphicData>
            </a:graphic>
          </wp:anchor>
        </w:drawing>
      </w:r>
    </w:p>
    <w:p w14:paraId="2CF8708F" w14:textId="77777777" w:rsidR="004A23DC" w:rsidRDefault="00000000">
      <w:pPr>
        <w:spacing w:before="120" w:after="120" w:line="336" w:lineRule="auto"/>
      </w:pPr>
      <w:r>
        <w:rPr>
          <w:rFonts w:ascii="Fraunces" w:eastAsia="Fraunces" w:hAnsi="Fraunces" w:cs="Fraunces"/>
          <w:color w:val="000000"/>
          <w:sz w:val="32"/>
          <w:szCs w:val="32"/>
        </w:rPr>
        <w:t xml:space="preserve"> </w:t>
      </w:r>
      <w:r>
        <w:rPr>
          <w:rFonts w:ascii="Fraunces" w:eastAsia="Fraunces" w:hAnsi="Fraunces" w:cs="Fraunces"/>
          <w:color w:val="000000"/>
        </w:rPr>
        <w:t xml:space="preserve"> </w:t>
      </w:r>
    </w:p>
    <w:p w14:paraId="5202DD6A" w14:textId="77777777" w:rsidR="004A23DC" w:rsidRDefault="00000000">
      <w:pPr>
        <w:spacing w:before="120" w:after="120" w:line="336" w:lineRule="auto"/>
        <w:jc w:val="center"/>
      </w:pPr>
      <w:r>
        <w:rPr>
          <w:rFonts w:ascii="Fraunces Bold" w:eastAsia="Fraunces Bold" w:hAnsi="Fraunces Bold" w:cs="Fraunces Bold"/>
          <w:b/>
          <w:bCs/>
          <w:color w:val="5C7C93"/>
          <w:sz w:val="32"/>
          <w:szCs w:val="32"/>
        </w:rPr>
        <w:t xml:space="preserve">MetroCOG Conservation Technical Advisory Committee Meeting </w:t>
      </w:r>
    </w:p>
    <w:p w14:paraId="52F4FF94" w14:textId="77777777" w:rsidR="004A23DC" w:rsidRDefault="00000000">
      <w:pPr>
        <w:spacing w:before="120" w:after="120" w:line="336" w:lineRule="auto"/>
        <w:jc w:val="center"/>
      </w:pPr>
      <w:r>
        <w:rPr>
          <w:rFonts w:ascii="Canva Sans" w:eastAsia="Canva Sans" w:hAnsi="Canva Sans" w:cs="Canva Sans"/>
          <w:color w:val="5C7C93"/>
          <w:sz w:val="28"/>
          <w:szCs w:val="28"/>
        </w:rPr>
        <w:t>March 16</w:t>
      </w:r>
      <w:proofErr w:type="gramStart"/>
      <w:r>
        <w:rPr>
          <w:rFonts w:ascii="Canva Sans" w:eastAsia="Canva Sans" w:hAnsi="Canva Sans" w:cs="Canva Sans"/>
          <w:color w:val="5C7C93"/>
          <w:sz w:val="28"/>
          <w:szCs w:val="28"/>
        </w:rPr>
        <w:t>th :</w:t>
      </w:r>
      <w:proofErr w:type="gramEnd"/>
      <w:r>
        <w:rPr>
          <w:rFonts w:ascii="Canva Sans" w:eastAsia="Canva Sans" w:hAnsi="Canva Sans" w:cs="Canva Sans"/>
          <w:color w:val="5C7C93"/>
          <w:sz w:val="28"/>
          <w:szCs w:val="28"/>
        </w:rPr>
        <w:t xml:space="preserve"> 11-12 PM  </w:t>
      </w:r>
    </w:p>
    <w:p w14:paraId="1BFDA2F7" w14:textId="77777777" w:rsidR="004A23DC" w:rsidRDefault="00000000">
      <w:pPr>
        <w:spacing w:before="120" w:after="120" w:line="336" w:lineRule="auto"/>
        <w:jc w:val="center"/>
      </w:pPr>
      <w:r>
        <w:rPr>
          <w:rFonts w:ascii="Canva Sans" w:eastAsia="Canva Sans" w:hAnsi="Canva Sans" w:cs="Canva Sans"/>
          <w:color w:val="5C7C93"/>
          <w:sz w:val="28"/>
          <w:szCs w:val="28"/>
        </w:rPr>
        <w:t xml:space="preserve">Zoom Meeting Link: </w:t>
      </w:r>
    </w:p>
    <w:p w14:paraId="6C619B2B" w14:textId="77777777" w:rsidR="004A23DC" w:rsidRDefault="00000000">
      <w:pPr>
        <w:spacing w:before="120" w:after="120" w:line="336" w:lineRule="auto"/>
        <w:jc w:val="center"/>
      </w:pPr>
      <w:hyperlink r:id="rId6">
        <w:r>
          <w:rPr>
            <w:rFonts w:ascii="Canva Sans" w:eastAsia="Canva Sans" w:hAnsi="Canva Sans" w:cs="Canva Sans"/>
            <w:color w:val="1A62FF"/>
            <w:sz w:val="28"/>
            <w:szCs w:val="28"/>
            <w:u w:val="single" w:color="1A62FF"/>
          </w:rPr>
          <w:t>https://us06web.zoom.us/j/88639734296?pwd=di9QVlNQRGRTU0k0M0Nhb1V5ZzZvZz09</w:t>
        </w:r>
      </w:hyperlink>
      <w:r>
        <w:rPr>
          <w:rFonts w:ascii="Canva Sans" w:eastAsia="Canva Sans" w:hAnsi="Canva Sans" w:cs="Canva Sans"/>
          <w:color w:val="000000"/>
          <w:sz w:val="28"/>
          <w:szCs w:val="28"/>
        </w:rPr>
        <w:t xml:space="preserve"> </w:t>
      </w:r>
    </w:p>
    <w:tbl>
      <w:tblPr>
        <w:tblW w:w="9030" w:type="dxa"/>
        <w:tblInd w:w="75"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10" w:type="dxa"/>
          <w:right w:w="10" w:type="dxa"/>
        </w:tblCellMar>
        <w:tblLook w:val="04A0" w:firstRow="1" w:lastRow="0" w:firstColumn="1" w:lastColumn="0" w:noHBand="0" w:noVBand="1"/>
      </w:tblPr>
      <w:tblGrid>
        <w:gridCol w:w="2169"/>
        <w:gridCol w:w="6861"/>
      </w:tblGrid>
      <w:tr w:rsidR="004A23DC" w14:paraId="20C3B406" w14:textId="77777777">
        <w:tblPrEx>
          <w:tblCellMar>
            <w:top w:w="0" w:type="dxa"/>
            <w:bottom w:w="0" w:type="dxa"/>
          </w:tblCellMar>
        </w:tblPrEx>
        <w:tc>
          <w:tcPr>
            <w:tcW w:w="9030" w:type="dxa"/>
            <w:gridSpan w:val="2"/>
            <w:shd w:val="clear" w:color="auto" w:fill="737373"/>
            <w:tcMar>
              <w:top w:w="75" w:type="dxa"/>
              <w:left w:w="75" w:type="dxa"/>
              <w:bottom w:w="75" w:type="dxa"/>
              <w:right w:w="75" w:type="dxa"/>
            </w:tcMar>
          </w:tcPr>
          <w:p w14:paraId="778ABEB9" w14:textId="77777777" w:rsidR="004A23DC" w:rsidRDefault="00000000">
            <w:pPr>
              <w:spacing w:before="120" w:after="120" w:line="336" w:lineRule="auto"/>
              <w:jc w:val="center"/>
            </w:pPr>
            <w:r>
              <w:rPr>
                <w:rFonts w:ascii="Fraunces Bold" w:eastAsia="Fraunces Bold" w:hAnsi="Fraunces Bold" w:cs="Fraunces Bold"/>
                <w:b/>
                <w:bCs/>
                <w:color w:val="FFFFFF"/>
                <w:sz w:val="40"/>
                <w:szCs w:val="40"/>
              </w:rPr>
              <w:t>Agenda</w:t>
            </w:r>
            <w:r>
              <w:rPr>
                <w:rFonts w:ascii="Fraunces Bold" w:eastAsia="Fraunces Bold" w:hAnsi="Fraunces Bold" w:cs="Fraunces Bold"/>
                <w:b/>
                <w:bCs/>
                <w:color w:val="FFFFFF"/>
              </w:rPr>
              <w:t xml:space="preserve"> </w:t>
            </w:r>
          </w:p>
        </w:tc>
      </w:tr>
      <w:tr w:rsidR="004A23DC" w14:paraId="2F93429D" w14:textId="77777777">
        <w:tblPrEx>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CellMar>
            <w:top w:w="0" w:type="dxa"/>
            <w:bottom w:w="0" w:type="dxa"/>
          </w:tblCellMar>
        </w:tblPrEx>
        <w:tc>
          <w:tcPr>
            <w:tcW w:w="2169" w:type="dxa"/>
            <w:shd w:val="clear" w:color="auto" w:fill="5C7C93"/>
            <w:tcMar>
              <w:top w:w="150" w:type="dxa"/>
              <w:left w:w="150" w:type="dxa"/>
              <w:bottom w:w="150" w:type="dxa"/>
              <w:right w:w="150" w:type="dxa"/>
            </w:tcMar>
          </w:tcPr>
          <w:p w14:paraId="0EDE048D" w14:textId="77777777" w:rsidR="004A23DC" w:rsidRDefault="00000000">
            <w:pPr>
              <w:spacing w:before="120" w:after="120" w:line="300" w:lineRule="auto"/>
            </w:pPr>
            <w:r>
              <w:rPr>
                <w:rFonts w:ascii="Canva Sans Bold" w:eastAsia="Canva Sans Bold" w:hAnsi="Canva Sans Bold" w:cs="Canva Sans Bold"/>
                <w:b/>
                <w:bCs/>
                <w:color w:val="D9D9D9"/>
                <w:sz w:val="28"/>
                <w:szCs w:val="28"/>
              </w:rPr>
              <w:t>MetroCOG</w:t>
            </w:r>
            <w:r>
              <w:rPr>
                <w:rFonts w:ascii="Arimo" w:eastAsia="Arimo" w:hAnsi="Arimo" w:cs="Arimo"/>
                <w:color w:val="D9D9D9"/>
              </w:rPr>
              <w:t xml:space="preserve"> </w:t>
            </w:r>
          </w:p>
        </w:tc>
        <w:tc>
          <w:tcPr>
            <w:tcW w:w="6860" w:type="dxa"/>
            <w:shd w:val="clear" w:color="auto" w:fill="5C7C93"/>
            <w:tcMar>
              <w:top w:w="150" w:type="dxa"/>
              <w:left w:w="150" w:type="dxa"/>
              <w:bottom w:w="150" w:type="dxa"/>
              <w:right w:w="150" w:type="dxa"/>
            </w:tcMar>
          </w:tcPr>
          <w:p w14:paraId="76615BCD" w14:textId="77777777" w:rsidR="004A23DC" w:rsidRDefault="00000000">
            <w:pPr>
              <w:spacing w:before="120" w:after="120" w:line="336" w:lineRule="auto"/>
              <w:rPr>
                <w:rFonts w:ascii="Canva Sans Bold" w:eastAsia="Canva Sans Bold" w:hAnsi="Canva Sans Bold" w:cs="Canva Sans Bold"/>
                <w:b/>
                <w:bCs/>
                <w:color w:val="D9D9D9"/>
                <w:sz w:val="28"/>
                <w:szCs w:val="28"/>
              </w:rPr>
            </w:pPr>
            <w:r>
              <w:rPr>
                <w:rFonts w:ascii="Canva Sans Bold" w:eastAsia="Canva Sans Bold" w:hAnsi="Canva Sans Bold" w:cs="Canva Sans Bold"/>
                <w:b/>
                <w:bCs/>
                <w:color w:val="D9D9D9"/>
                <w:sz w:val="20"/>
                <w:szCs w:val="20"/>
              </w:rPr>
              <w:t xml:space="preserve"> </w:t>
            </w:r>
            <w:r>
              <w:rPr>
                <w:rFonts w:ascii="Canva Sans Bold" w:eastAsia="Canva Sans Bold" w:hAnsi="Canva Sans Bold" w:cs="Canva Sans Bold"/>
                <w:b/>
                <w:bCs/>
                <w:color w:val="D9D9D9"/>
                <w:sz w:val="28"/>
                <w:szCs w:val="28"/>
              </w:rPr>
              <w:t xml:space="preserve">Welcome and Introductions </w:t>
            </w:r>
          </w:p>
          <w:p w14:paraId="0B05D754" w14:textId="19D2B803" w:rsidR="008F632D" w:rsidRDefault="008F632D">
            <w:pPr>
              <w:spacing w:before="120" w:after="120" w:line="336" w:lineRule="auto"/>
            </w:pPr>
            <w:r>
              <w:t xml:space="preserve">Karen Burnaska, Drew Goldman, Cole Burnham, Simone </w:t>
            </w:r>
            <w:proofErr w:type="spellStart"/>
            <w:r>
              <w:t>Lesci</w:t>
            </w:r>
            <w:proofErr w:type="spellEnd"/>
            <w:r>
              <w:t>, Noah Miller, Devin Clark, Stephanie Ingraldi, Jayson Velasquez, Tatiana Solovey, William Hurley, Dianalys Bonilla, Chadwick Shcroeder, Joe Katz Arcadia Davies</w:t>
            </w:r>
          </w:p>
          <w:p w14:paraId="100BCBB9" w14:textId="77777777" w:rsidR="004A23DC" w:rsidRDefault="00000000">
            <w:pPr>
              <w:spacing w:before="120" w:after="120" w:line="336" w:lineRule="auto"/>
            </w:pPr>
            <w:r>
              <w:rPr>
                <w:rFonts w:ascii="Canva Sans Bold" w:eastAsia="Canva Sans Bold" w:hAnsi="Canva Sans Bold" w:cs="Canva Sans Bold"/>
                <w:b/>
                <w:bCs/>
                <w:color w:val="D9D9D9"/>
                <w:sz w:val="28"/>
                <w:szCs w:val="28"/>
              </w:rPr>
              <w:t xml:space="preserve"> </w:t>
            </w:r>
          </w:p>
        </w:tc>
      </w:tr>
      <w:tr w:rsidR="004A23DC" w14:paraId="64A2AC10" w14:textId="77777777">
        <w:tblPrEx>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CellMar>
            <w:top w:w="0" w:type="dxa"/>
            <w:bottom w:w="0" w:type="dxa"/>
          </w:tblCellMar>
        </w:tblPrEx>
        <w:tc>
          <w:tcPr>
            <w:tcW w:w="2169" w:type="dxa"/>
            <w:shd w:val="clear" w:color="auto" w:fill="5C7C93"/>
            <w:tcMar>
              <w:top w:w="150" w:type="dxa"/>
              <w:left w:w="150" w:type="dxa"/>
              <w:bottom w:w="150" w:type="dxa"/>
              <w:right w:w="150" w:type="dxa"/>
            </w:tcMar>
          </w:tcPr>
          <w:p w14:paraId="3F6F42AC" w14:textId="77777777" w:rsidR="004A23DC" w:rsidRDefault="00000000">
            <w:pPr>
              <w:spacing w:before="120" w:after="120" w:line="300" w:lineRule="auto"/>
            </w:pPr>
            <w:r>
              <w:rPr>
                <w:rFonts w:ascii="Canva Sans Bold" w:eastAsia="Canva Sans Bold" w:hAnsi="Canva Sans Bold" w:cs="Canva Sans Bold"/>
                <w:b/>
                <w:bCs/>
                <w:color w:val="D9D9D9"/>
                <w:sz w:val="28"/>
                <w:szCs w:val="28"/>
              </w:rPr>
              <w:t>MetroCOG</w:t>
            </w:r>
            <w:r>
              <w:rPr>
                <w:rFonts w:ascii="Arimo" w:eastAsia="Arimo" w:hAnsi="Arimo" w:cs="Arimo"/>
                <w:color w:val="D9D9D9"/>
              </w:rPr>
              <w:t xml:space="preserve"> </w:t>
            </w:r>
          </w:p>
        </w:tc>
        <w:tc>
          <w:tcPr>
            <w:tcW w:w="6860" w:type="dxa"/>
            <w:shd w:val="clear" w:color="auto" w:fill="5C7C93"/>
            <w:tcMar>
              <w:top w:w="150" w:type="dxa"/>
              <w:left w:w="150" w:type="dxa"/>
              <w:bottom w:w="150" w:type="dxa"/>
              <w:right w:w="150" w:type="dxa"/>
            </w:tcMar>
          </w:tcPr>
          <w:p w14:paraId="05DD0F90" w14:textId="77777777" w:rsidR="004A23DC" w:rsidRDefault="00000000">
            <w:pPr>
              <w:spacing w:before="120" w:after="120" w:line="336" w:lineRule="auto"/>
              <w:rPr>
                <w:rFonts w:ascii="Canva Sans Bold" w:eastAsia="Canva Sans Bold" w:hAnsi="Canva Sans Bold" w:cs="Canva Sans Bold"/>
                <w:b/>
                <w:bCs/>
                <w:color w:val="D9D9D9"/>
                <w:sz w:val="28"/>
                <w:szCs w:val="28"/>
              </w:rPr>
            </w:pPr>
            <w:r>
              <w:rPr>
                <w:rFonts w:ascii="Canva Sans Bold" w:eastAsia="Canva Sans Bold" w:hAnsi="Canva Sans Bold" w:cs="Canva Sans Bold"/>
                <w:b/>
                <w:bCs/>
                <w:color w:val="D9D9D9"/>
                <w:sz w:val="28"/>
                <w:szCs w:val="28"/>
              </w:rPr>
              <w:t xml:space="preserve">General Updates </w:t>
            </w:r>
          </w:p>
          <w:p w14:paraId="4816124F" w14:textId="77777777" w:rsidR="008F632D" w:rsidRDefault="008F632D">
            <w:pPr>
              <w:spacing w:before="120" w:after="120" w:line="336" w:lineRule="auto"/>
            </w:pPr>
            <w:r>
              <w:t xml:space="preserve">MetroCOG is in the final stages of content development for the POCD update and will be hosting PAC/ Focus Group meeting </w:t>
            </w:r>
            <w:r>
              <w:lastRenderedPageBreak/>
              <w:t>late April. MetroCOG will distribute content areas for focus groups to review ahead of meetings</w:t>
            </w:r>
          </w:p>
          <w:p w14:paraId="6E22A576" w14:textId="77777777" w:rsidR="008F632D" w:rsidRDefault="008F632D">
            <w:pPr>
              <w:spacing w:before="120" w:after="120" w:line="336" w:lineRule="auto"/>
            </w:pPr>
          </w:p>
          <w:p w14:paraId="527194EF" w14:textId="77777777" w:rsidR="008F632D" w:rsidRDefault="008F632D">
            <w:pPr>
              <w:spacing w:before="120" w:after="120" w:line="336" w:lineRule="auto"/>
            </w:pPr>
            <w:r>
              <w:t>MetroCOG is in the final stages of creating CPRG (CCAP) municipal playbooks, which will help guide member municipalities with priority action areas.</w:t>
            </w:r>
          </w:p>
          <w:p w14:paraId="35BAEA5B" w14:textId="77777777" w:rsidR="008F632D" w:rsidRDefault="008F632D">
            <w:pPr>
              <w:spacing w:before="120" w:after="120" w:line="336" w:lineRule="auto"/>
            </w:pPr>
          </w:p>
          <w:p w14:paraId="72BF8952" w14:textId="77777777" w:rsidR="008F632D" w:rsidRDefault="008F632D">
            <w:pPr>
              <w:spacing w:before="120" w:after="120" w:line="336" w:lineRule="auto"/>
            </w:pPr>
            <w:r>
              <w:t>MetroCOG is assisting municipalities with their MS4 updates and will begin reviewing the 2025 annual reports to best serve members.</w:t>
            </w:r>
          </w:p>
          <w:p w14:paraId="69781656" w14:textId="77777777" w:rsidR="008F632D" w:rsidRDefault="008F632D">
            <w:pPr>
              <w:spacing w:before="120" w:after="120" w:line="336" w:lineRule="auto"/>
            </w:pPr>
          </w:p>
          <w:p w14:paraId="2A5D9ED2" w14:textId="10D14E8A" w:rsidR="008F632D" w:rsidRDefault="008F632D">
            <w:pPr>
              <w:spacing w:before="120" w:after="120" w:line="336" w:lineRule="auto"/>
            </w:pPr>
            <w:r>
              <w:t xml:space="preserve">MetroCOG is assisting UConn with their Vacant Lot Project in Bridgeport CT and has been meeting with the </w:t>
            </w:r>
            <w:proofErr w:type="gramStart"/>
            <w:r>
              <w:t>City</w:t>
            </w:r>
            <w:proofErr w:type="gramEnd"/>
            <w:r>
              <w:t xml:space="preserve"> and creating a digital map to better understand potential best sites for urban agriculture </w:t>
            </w:r>
          </w:p>
        </w:tc>
      </w:tr>
      <w:tr w:rsidR="004A23DC" w14:paraId="29692B9A" w14:textId="77777777">
        <w:tblPrEx>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CellMar>
            <w:top w:w="0" w:type="dxa"/>
            <w:bottom w:w="0" w:type="dxa"/>
          </w:tblCellMar>
        </w:tblPrEx>
        <w:tc>
          <w:tcPr>
            <w:tcW w:w="2169" w:type="dxa"/>
            <w:shd w:val="clear" w:color="auto" w:fill="5C7C93"/>
            <w:tcMar>
              <w:top w:w="150" w:type="dxa"/>
              <w:left w:w="150" w:type="dxa"/>
              <w:bottom w:w="150" w:type="dxa"/>
              <w:right w:w="150" w:type="dxa"/>
            </w:tcMar>
          </w:tcPr>
          <w:p w14:paraId="4FAFD07B" w14:textId="77777777" w:rsidR="004A23DC" w:rsidRDefault="00000000">
            <w:pPr>
              <w:spacing w:before="120" w:after="120" w:line="300" w:lineRule="auto"/>
            </w:pPr>
            <w:r>
              <w:rPr>
                <w:rFonts w:ascii="Canva Sans Bold" w:eastAsia="Canva Sans Bold" w:hAnsi="Canva Sans Bold" w:cs="Canva Sans Bold"/>
                <w:b/>
                <w:bCs/>
                <w:color w:val="D9D9D9"/>
                <w:sz w:val="28"/>
                <w:szCs w:val="28"/>
              </w:rPr>
              <w:lastRenderedPageBreak/>
              <w:t xml:space="preserve">Cole Burnham + Jayson Velazquez </w:t>
            </w:r>
          </w:p>
        </w:tc>
        <w:tc>
          <w:tcPr>
            <w:tcW w:w="6860" w:type="dxa"/>
            <w:shd w:val="clear" w:color="auto" w:fill="5C7C93"/>
            <w:tcMar>
              <w:top w:w="150" w:type="dxa"/>
              <w:left w:w="150" w:type="dxa"/>
              <w:bottom w:w="150" w:type="dxa"/>
              <w:right w:w="150" w:type="dxa"/>
            </w:tcMar>
          </w:tcPr>
          <w:p w14:paraId="5737D19C" w14:textId="77777777" w:rsidR="004A23DC" w:rsidRDefault="00000000">
            <w:pPr>
              <w:spacing w:before="120" w:after="120" w:line="336" w:lineRule="auto"/>
              <w:rPr>
                <w:rFonts w:ascii="Canva Sans Bold" w:eastAsia="Canva Sans Bold" w:hAnsi="Canva Sans Bold" w:cs="Canva Sans Bold"/>
                <w:b/>
                <w:bCs/>
                <w:color w:val="D9D9D9"/>
                <w:sz w:val="28"/>
                <w:szCs w:val="28"/>
              </w:rPr>
            </w:pPr>
            <w:r>
              <w:rPr>
                <w:rFonts w:ascii="Canva Sans Bold" w:eastAsia="Canva Sans Bold" w:hAnsi="Canva Sans Bold" w:cs="Canva Sans Bold"/>
                <w:b/>
                <w:bCs/>
                <w:color w:val="D9D9D9"/>
                <w:sz w:val="28"/>
                <w:szCs w:val="28"/>
              </w:rPr>
              <w:t xml:space="preserve">Green Bank 101 Presentation + Q/A </w:t>
            </w:r>
          </w:p>
          <w:p w14:paraId="61E9DA6A" w14:textId="77777777" w:rsidR="008F632D" w:rsidRDefault="008F632D">
            <w:pPr>
              <w:spacing w:before="120" w:after="120" w:line="336" w:lineRule="auto"/>
            </w:pPr>
            <w:r>
              <w:t>Green Bank of CT established in 2011, works with stakeholders to confront the challenges associated with climate change. GB attracts private dollars and uses public funding to provide solutions. Priorities for the year include multifamily affordable housing, investment in resilient communities, and investment in electric infrastructure. GB has provided a list of municipal services they offer and is happy to meet with members to address their concerns and build solutions.</w:t>
            </w:r>
          </w:p>
          <w:p w14:paraId="3E724DDB" w14:textId="77777777" w:rsidR="00167456" w:rsidRPr="00167456" w:rsidRDefault="00167456" w:rsidP="00167456">
            <w:pPr>
              <w:numPr>
                <w:ilvl w:val="0"/>
                <w:numId w:val="1"/>
              </w:numPr>
              <w:spacing w:before="120" w:after="120" w:line="336" w:lineRule="auto"/>
            </w:pPr>
            <w:r w:rsidRPr="00167456">
              <w:rPr>
                <w:b/>
                <w:bCs/>
              </w:rPr>
              <w:t>Informative Workshop Menu:</w:t>
            </w:r>
          </w:p>
          <w:p w14:paraId="4221A61F" w14:textId="77777777" w:rsidR="00167456" w:rsidRPr="00167456" w:rsidRDefault="00167456" w:rsidP="00167456">
            <w:pPr>
              <w:spacing w:before="120" w:after="120" w:line="336" w:lineRule="auto"/>
            </w:pPr>
            <w:r w:rsidRPr="00167456">
              <w:t>The Connecticut Green Bank</w:t>
            </w:r>
            <w:r w:rsidRPr="00167456">
              <w:rPr>
                <w:color w:val="FF0000"/>
              </w:rPr>
              <w:t> </w:t>
            </w:r>
            <w:hyperlink r:id="rId7" w:tgtFrame="_blank" w:tooltip="https://us-east-2.protection.sophos.com?d=cudasvc.com&amp;u=aHR0cHM6Ly9saW5rcHJvdGVjdC5jdWRhc3ZjLmNvbS91cmw_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&amp;p=m&amp;i=NjkzMDcxMTM3ZWYwNDI2MDIzM2I0MTIx&amp;t=Qjh6Rkh3OW1QU3ZBVWZjb1NqY3ZrVUxZcmhlbmlEOUJhckpHeFhNVzJJOD0=&amp;h=0e9184658c6a4842af7012b088f7fab4&amp;s=AVNPUEhUT0NFTkNSWVBUSVajmzkWrUDSsGI1kVFL9bfKllwH65sIsB-x3RhsyCFnJ25UeFdxTmoXGyECnxEqSlk" w:history="1">
              <w:r w:rsidRPr="00167456">
                <w:rPr>
                  <w:rStyle w:val="Hyperlink"/>
                  <w:color w:val="FF0000"/>
                </w:rPr>
                <w:t>Informative Workshop Menu</w:t>
              </w:r>
            </w:hyperlink>
            <w:r w:rsidRPr="00167456">
              <w:t xml:space="preserve"> is a comprehensive resource highlighting potential partnership opportunities between the Green </w:t>
            </w:r>
            <w:r w:rsidRPr="00167456">
              <w:lastRenderedPageBreak/>
              <w:t>Bank and Connecticut’s Councils of Governments (COGs), municipalities, and regional organizations. The Informative Workshop Menu covers Green Bank solutions that may be relevant to your regional and local priorities. The Green Bank’s Informative Workshops provide educational opportunities to the towns and cities you serve – helping identify ways to access green solutions, use less energy, and be more resilient. </w:t>
            </w:r>
          </w:p>
          <w:p w14:paraId="1FEECBC1" w14:textId="77777777" w:rsidR="00167456" w:rsidRPr="00167456" w:rsidRDefault="00167456" w:rsidP="00167456">
            <w:pPr>
              <w:spacing w:before="120" w:after="120" w:line="336" w:lineRule="auto"/>
            </w:pPr>
            <w:r w:rsidRPr="00167456">
              <w:t> </w:t>
            </w:r>
          </w:p>
          <w:p w14:paraId="270B7272" w14:textId="77777777" w:rsidR="00167456" w:rsidRPr="00167456" w:rsidRDefault="00167456" w:rsidP="00167456">
            <w:pPr>
              <w:numPr>
                <w:ilvl w:val="0"/>
                <w:numId w:val="2"/>
              </w:numPr>
              <w:spacing w:before="120" w:after="120" w:line="336" w:lineRule="auto"/>
              <w:rPr>
                <w:color w:val="FF0000"/>
              </w:rPr>
            </w:pPr>
            <w:hyperlink r:id="rId8" w:tgtFrame="_blank" w:tooltip="https://us-east-2.protection.sophos.com?d=cudasvc.com&amp;u=aHR0cHM6Ly9saW5rcHJvdGVjdC5jdWRhc3ZjLmNvbS91cmw_YT1odHRwcyUzYSUyZiUyZnd3dy5jdGdyZWVuYmFuay5jb20lMmZjb21tdW5pdHktc29sdXRpb25zJTJmc29sYXItc29sdXRpb25zLWZvci1jb21tdW5pdGllcyUyZnNvbGFyLW1hcCUyZiZjPUUsMSx0ZGdjamRSY0VIZjF0Wl9vMEJzZTFwRG0tRS1QRXJlMG9nMzdUbkZNdGVsd1MtU3N5QUd3ajBkdEZ4SFFSMUJFZGhMNWYta2JZaTRVSjYyZ2szVEp6QTZuVFY1WFFQUWp4SEpsOGxFMjBHWEt6QSwsJnR5cG89MQ==&amp;p=m&amp;i=NjkzMDcxMTM3ZWYwNDI2MDIzM2I0MTIx&amp;t=SHpDaEY1cEE4cGhIdlphZW9uY290RXh6SzJlTDBLUmlUOEdIcDNaQktCWT0=&amp;h=0e9184658c6a4842af7012b088f7fab4&amp;s=AVNPUEhUT0NFTkNSWVBUSVajmzkWrUDSsGI1kVFL9bfKllwH65sIsB-x3RhsyCFnJ25UeFdxTmoXGyECnxEqSlk" w:history="1">
              <w:r w:rsidRPr="00167456">
                <w:rPr>
                  <w:rStyle w:val="Hyperlink"/>
                  <w:b/>
                  <w:bCs/>
                  <w:color w:val="FF0000"/>
                </w:rPr>
                <w:t>Solar MAP+</w:t>
              </w:r>
            </w:hyperlink>
            <w:r w:rsidRPr="00167456">
              <w:rPr>
                <w:b/>
                <w:bCs/>
                <w:color w:val="FF0000"/>
              </w:rPr>
              <w:t>:</w:t>
            </w:r>
          </w:p>
          <w:p w14:paraId="6FC0126E" w14:textId="7110F42C" w:rsidR="00167456" w:rsidRPr="00167456" w:rsidRDefault="00167456" w:rsidP="00167456">
            <w:pPr>
              <w:spacing w:before="120" w:after="120" w:line="336" w:lineRule="auto"/>
            </w:pPr>
            <w:r w:rsidRPr="00167456">
              <w:t xml:space="preserve">Solar MAP+ is designed to provide </w:t>
            </w:r>
            <w:proofErr w:type="gramStart"/>
            <w:r w:rsidRPr="00167456">
              <w:t>no cost</w:t>
            </w:r>
            <w:proofErr w:type="gramEnd"/>
            <w:r w:rsidRPr="00167456">
              <w:t xml:space="preserve"> technical assistance and project development support for solar and battery storage. We are actively supporting school districts that want to take advantage of the State’s commercial solar incentive program (NRES</w:t>
            </w:r>
            <w:proofErr w:type="gramStart"/>
            <w:r w:rsidRPr="00167456">
              <w:t>).Affordable</w:t>
            </w:r>
            <w:proofErr w:type="gramEnd"/>
            <w:r w:rsidRPr="00167456">
              <w:t xml:space="preserve"> Multifamily Housing is another key area for Solar MAP</w:t>
            </w:r>
          </w:p>
          <w:p w14:paraId="368FF980" w14:textId="327440FC" w:rsidR="00167456" w:rsidRPr="00167456" w:rsidRDefault="00167456" w:rsidP="00167456">
            <w:pPr>
              <w:spacing w:before="120" w:after="120" w:line="336" w:lineRule="auto"/>
            </w:pPr>
            <w:r w:rsidRPr="00167456">
              <w:t> </w:t>
            </w:r>
            <w:r>
              <w:t xml:space="preserve"> </w:t>
            </w:r>
          </w:p>
          <w:p w14:paraId="4C6380EF" w14:textId="77777777" w:rsidR="00167456" w:rsidRPr="00167456" w:rsidRDefault="00167456" w:rsidP="00167456">
            <w:pPr>
              <w:numPr>
                <w:ilvl w:val="0"/>
                <w:numId w:val="3"/>
              </w:numPr>
              <w:spacing w:before="120" w:after="120" w:line="336" w:lineRule="auto"/>
              <w:rPr>
                <w:color w:val="FF0000"/>
              </w:rPr>
            </w:pPr>
            <w:hyperlink r:id="rId9" w:tgtFrame="_blank" w:tooltip="https://us-east-2.protection.sophos.com?d=cudasvc.com&amp;u=aHR0cHM6Ly9saW5rcHJvdGVjdC5jdWRhc3ZjLmNvbS91cmw_YT1odHRwcyUzYSUyZiUyZnd3dy5jdGdyZWVuYmFuay5jb20lMmZmbGVldC1lbGVjdHJpZmljYXRpb24tYWNjZWxlcmF0b3IlMmYmYz1FLDEsOVk3emdJMEFZRTF1NVF6ZkpXN1JGNWVJVXgtNVhtVU45YjZVUF9FYkdpNU56MmFoYkNfOVh3N1ZEZ2pLTTY4SVNuWnl0aV8teXEydGZfRHNaeHpPckZpSl9nV09pRUwwc2FlTTlTQ1RPRHRuSXcsLCZ0eXBvPTE=&amp;p=m&amp;i=NjkzMDcxMTM3ZWYwNDI2MDIzM2I0MTIx&amp;t=TFVvQWRvdklDOXI0blNNc3BXaThva1RXYTMvN1NXWlZ1a0swVjVYU2dsMD0=&amp;h=0e9184658c6a4842af7012b088f7fab4&amp;s=AVNPUEhUT0NFTkNSWVBUSVajmzkWrUDSsGI1kVFL9bfKllwH65sIsB-x3RhsyCFnJ25UeFdxTmoXGyECnxEqSlk" w:history="1">
              <w:r w:rsidRPr="00167456">
                <w:rPr>
                  <w:rStyle w:val="Hyperlink"/>
                  <w:b/>
                  <w:bCs/>
                  <w:color w:val="FF0000"/>
                </w:rPr>
                <w:t>Fleet Electrification Accelerator</w:t>
              </w:r>
            </w:hyperlink>
            <w:r w:rsidRPr="00167456">
              <w:rPr>
                <w:b/>
                <w:bCs/>
                <w:color w:val="FF0000"/>
              </w:rPr>
              <w:t>:</w:t>
            </w:r>
          </w:p>
          <w:p w14:paraId="20563E12" w14:textId="30EDC6E9" w:rsidR="00167456" w:rsidRPr="00167456" w:rsidRDefault="00167456" w:rsidP="00167456">
            <w:pPr>
              <w:spacing w:before="120" w:after="120" w:line="336" w:lineRule="auto"/>
            </w:pPr>
            <w:r w:rsidRPr="00167456">
              <w:t xml:space="preserve">The Connecticut Green Bank’s Fleet Electrification Accelerator Program provides free fleet electrification planning and deployment assistance to school bus fleets in Connecticut municipalities. </w:t>
            </w:r>
          </w:p>
          <w:p w14:paraId="26DDE364" w14:textId="1972B609" w:rsidR="00167456" w:rsidRDefault="00167456">
            <w:pPr>
              <w:spacing w:before="120" w:after="120" w:line="336" w:lineRule="auto"/>
            </w:pPr>
          </w:p>
        </w:tc>
      </w:tr>
      <w:tr w:rsidR="004A23DC" w14:paraId="154E42D3" w14:textId="77777777">
        <w:tblPrEx>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CellMar>
            <w:top w:w="0" w:type="dxa"/>
            <w:bottom w:w="0" w:type="dxa"/>
          </w:tblCellMar>
        </w:tblPrEx>
        <w:tc>
          <w:tcPr>
            <w:tcW w:w="2169" w:type="dxa"/>
            <w:shd w:val="clear" w:color="auto" w:fill="5C7C93"/>
            <w:tcMar>
              <w:top w:w="150" w:type="dxa"/>
              <w:left w:w="150" w:type="dxa"/>
              <w:bottom w:w="150" w:type="dxa"/>
              <w:right w:w="150" w:type="dxa"/>
            </w:tcMar>
          </w:tcPr>
          <w:p w14:paraId="42BA763B" w14:textId="77777777" w:rsidR="004A23DC" w:rsidRDefault="00000000">
            <w:pPr>
              <w:spacing w:before="120" w:after="120" w:line="300" w:lineRule="auto"/>
            </w:pPr>
            <w:r>
              <w:rPr>
                <w:rFonts w:ascii="Canva Sans Bold" w:eastAsia="Canva Sans Bold" w:hAnsi="Canva Sans Bold" w:cs="Canva Sans Bold"/>
                <w:b/>
                <w:bCs/>
                <w:color w:val="D9D9D9"/>
                <w:sz w:val="28"/>
                <w:szCs w:val="28"/>
              </w:rPr>
              <w:lastRenderedPageBreak/>
              <w:t xml:space="preserve">MetroCOG + Group Members </w:t>
            </w:r>
          </w:p>
        </w:tc>
        <w:tc>
          <w:tcPr>
            <w:tcW w:w="6860" w:type="dxa"/>
            <w:shd w:val="clear" w:color="auto" w:fill="5C7C93"/>
            <w:tcMar>
              <w:top w:w="150" w:type="dxa"/>
              <w:left w:w="150" w:type="dxa"/>
              <w:bottom w:w="150" w:type="dxa"/>
              <w:right w:w="150" w:type="dxa"/>
            </w:tcMar>
          </w:tcPr>
          <w:p w14:paraId="0656939F" w14:textId="77777777" w:rsidR="004A23DC" w:rsidRDefault="00000000">
            <w:pPr>
              <w:spacing w:before="120" w:after="120" w:line="336" w:lineRule="auto"/>
            </w:pPr>
            <w:r>
              <w:rPr>
                <w:rFonts w:ascii="Canva Sans Bold" w:eastAsia="Canva Sans Bold" w:hAnsi="Canva Sans Bold" w:cs="Canva Sans Bold"/>
                <w:b/>
                <w:bCs/>
                <w:color w:val="D9D9D9"/>
                <w:sz w:val="28"/>
                <w:szCs w:val="28"/>
              </w:rPr>
              <w:t xml:space="preserve">  </w:t>
            </w:r>
          </w:p>
          <w:p w14:paraId="4269FA9A" w14:textId="77777777" w:rsidR="004A23DC" w:rsidRDefault="00000000">
            <w:pPr>
              <w:spacing w:before="120" w:after="120" w:line="336" w:lineRule="auto"/>
              <w:rPr>
                <w:rFonts w:ascii="Canva Sans Bold" w:eastAsia="Canva Sans Bold" w:hAnsi="Canva Sans Bold" w:cs="Canva Sans Bold"/>
                <w:b/>
                <w:bCs/>
                <w:color w:val="D9D9D9"/>
                <w:sz w:val="28"/>
                <w:szCs w:val="28"/>
              </w:rPr>
            </w:pPr>
            <w:r>
              <w:rPr>
                <w:rFonts w:ascii="Canva Sans Bold" w:eastAsia="Canva Sans Bold" w:hAnsi="Canva Sans Bold" w:cs="Canva Sans Bold"/>
                <w:b/>
                <w:bCs/>
                <w:color w:val="D9D9D9"/>
                <w:sz w:val="28"/>
                <w:szCs w:val="28"/>
              </w:rPr>
              <w:t xml:space="preserve">Upcoming Opportunities- TNC/ Community Forestry Peer Learning Exchange </w:t>
            </w:r>
          </w:p>
          <w:p w14:paraId="413C8141" w14:textId="5A965BA9" w:rsidR="00167456" w:rsidRPr="00167456" w:rsidRDefault="00167456" w:rsidP="00167456">
            <w:pPr>
              <w:spacing w:before="120" w:after="120" w:line="336" w:lineRule="auto"/>
            </w:pPr>
            <w:r>
              <w:t>T</w:t>
            </w:r>
            <w:r w:rsidRPr="00167456">
              <w:t>his</w:t>
            </w:r>
            <w:r>
              <w:t xml:space="preserve"> </w:t>
            </w:r>
            <w:r w:rsidRPr="00167456">
              <w:t>event, hosted by The Nature Conservancy, MetroCOG, and partners, is a great opportunity for</w:t>
            </w:r>
            <w:r>
              <w:t xml:space="preserve"> </w:t>
            </w:r>
            <w:r w:rsidRPr="00167456">
              <w:t xml:space="preserve">local organizations, municipal staff, and community leaders to share their urban </w:t>
            </w:r>
            <w:r w:rsidRPr="00167456">
              <w:lastRenderedPageBreak/>
              <w:t>forestry</w:t>
            </w:r>
            <w:r>
              <w:t xml:space="preserve"> </w:t>
            </w:r>
            <w:r w:rsidRPr="00167456">
              <w:t>initiatives and advance transformative project ideas/efforts.</w:t>
            </w:r>
          </w:p>
          <w:p w14:paraId="49376458" w14:textId="77777777" w:rsidR="00167456" w:rsidRPr="00167456" w:rsidRDefault="00167456" w:rsidP="00167456">
            <w:pPr>
              <w:spacing w:before="120" w:after="120" w:line="336" w:lineRule="auto"/>
            </w:pPr>
          </w:p>
          <w:p w14:paraId="6D11539D" w14:textId="77777777" w:rsidR="00167456" w:rsidRPr="00167456" w:rsidRDefault="00167456" w:rsidP="00167456">
            <w:pPr>
              <w:spacing w:before="120" w:after="120" w:line="336" w:lineRule="auto"/>
            </w:pPr>
            <w:r w:rsidRPr="00167456">
              <w:t>The Urban and Community Forestry Peer Learning Exchange for the MetroCOG Region will be</w:t>
            </w:r>
          </w:p>
          <w:p w14:paraId="4CC1B175" w14:textId="77777777" w:rsidR="00167456" w:rsidRPr="00167456" w:rsidRDefault="00167456" w:rsidP="00167456">
            <w:pPr>
              <w:spacing w:before="120" w:after="120" w:line="336" w:lineRule="auto"/>
            </w:pPr>
            <w:r w:rsidRPr="00167456">
              <w:t>held on </w:t>
            </w:r>
            <w:r w:rsidRPr="00167456">
              <w:rPr>
                <w:b/>
                <w:bCs/>
              </w:rPr>
              <w:t>March 31st, from 9:00am – 1:00pm at the Burrough Center (2470 Fairfield Ave,</w:t>
            </w:r>
            <w:r w:rsidRPr="00167456">
              <w:rPr>
                <w:b/>
                <w:bCs/>
              </w:rPr>
              <w:br/>
              <w:t>Bridgeport, CT). </w:t>
            </w:r>
            <w:r w:rsidRPr="00167456">
              <w:t>Please see the attached Save the Date for more</w:t>
            </w:r>
          </w:p>
          <w:p w14:paraId="3DC1C66C" w14:textId="77777777" w:rsidR="00167456" w:rsidRPr="00167456" w:rsidRDefault="00167456" w:rsidP="00167456">
            <w:pPr>
              <w:spacing w:before="120" w:after="120" w:line="336" w:lineRule="auto"/>
            </w:pPr>
            <w:r w:rsidRPr="00167456">
              <w:t>Information. And use the link below to register: </w:t>
            </w:r>
          </w:p>
          <w:p w14:paraId="4DE5ECCF" w14:textId="77777777" w:rsidR="00167456" w:rsidRPr="00167456" w:rsidRDefault="00167456" w:rsidP="00167456">
            <w:pPr>
              <w:spacing w:before="120" w:after="120" w:line="336" w:lineRule="auto"/>
              <w:rPr>
                <w:color w:val="FF0000"/>
              </w:rPr>
            </w:pPr>
          </w:p>
          <w:p w14:paraId="08BA974C" w14:textId="77777777" w:rsidR="00167456" w:rsidRPr="00167456" w:rsidRDefault="00167456" w:rsidP="00167456">
            <w:pPr>
              <w:spacing w:before="120" w:after="120" w:line="336" w:lineRule="auto"/>
              <w:rPr>
                <w:color w:val="FF0000"/>
              </w:rPr>
            </w:pPr>
            <w:hyperlink r:id="rId10" w:tgtFrame="_blank" w:tooltip="https://luma.com/36fmke4t" w:history="1">
              <w:r w:rsidRPr="00167456">
                <w:rPr>
                  <w:rStyle w:val="Hyperlink"/>
                  <w:b/>
                  <w:bCs/>
                  <w:color w:val="FF0000"/>
                </w:rPr>
                <w:t>https://luma.com/36fmke4t</w:t>
              </w:r>
            </w:hyperlink>
          </w:p>
          <w:p w14:paraId="2B08210B" w14:textId="77777777" w:rsidR="00167456" w:rsidRDefault="00167456" w:rsidP="00167456">
            <w:pPr>
              <w:spacing w:before="120" w:after="120" w:line="336" w:lineRule="auto"/>
            </w:pPr>
            <w:r>
              <w:rPr>
                <w:rFonts w:ascii="Canva Sans Bold" w:eastAsia="Canva Sans Bold" w:hAnsi="Canva Sans Bold" w:cs="Canva Sans Bold"/>
                <w:b/>
                <w:bCs/>
                <w:color w:val="D9D9D9"/>
                <w:sz w:val="28"/>
                <w:szCs w:val="28"/>
              </w:rPr>
              <w:t xml:space="preserve">Other Business (Upcoming Events) </w:t>
            </w:r>
          </w:p>
          <w:p w14:paraId="3E625F68" w14:textId="77777777" w:rsidR="00167456" w:rsidRDefault="00167456">
            <w:pPr>
              <w:spacing w:before="120" w:after="120" w:line="336" w:lineRule="auto"/>
            </w:pPr>
          </w:p>
          <w:p w14:paraId="1795C7CA" w14:textId="1C0F01B2" w:rsidR="00167456" w:rsidRPr="00167456" w:rsidRDefault="00167456" w:rsidP="00167456">
            <w:pPr>
              <w:spacing w:before="120" w:after="120" w:line="336" w:lineRule="auto"/>
            </w:pPr>
            <w:r>
              <w:t>S</w:t>
            </w:r>
            <w:r w:rsidRPr="00167456">
              <w:t>ustainable</w:t>
            </w:r>
            <w:r w:rsidRPr="00167456">
              <w:t xml:space="preserve"> and Resilient Communities Funding Workshop hosted by the Connecticut Sea Grant and the Long Island Sound Partnership at Gateway CC in New Haven on Tuesday, March 31</w:t>
            </w:r>
            <w:r w:rsidRPr="00167456">
              <w:rPr>
                <w:vertAlign w:val="superscript"/>
              </w:rPr>
              <w:t>st</w:t>
            </w:r>
            <w:r w:rsidRPr="00167456">
              <w:t> from 10am to 2:30pm.</w:t>
            </w:r>
          </w:p>
          <w:p w14:paraId="681E58D6" w14:textId="77777777" w:rsidR="00167456" w:rsidRPr="00167456" w:rsidRDefault="00167456" w:rsidP="00167456">
            <w:pPr>
              <w:spacing w:before="120" w:after="120" w:line="336" w:lineRule="auto"/>
            </w:pPr>
          </w:p>
          <w:p w14:paraId="6F42FC61" w14:textId="77777777" w:rsidR="00167456" w:rsidRPr="00167456" w:rsidRDefault="00167456" w:rsidP="00167456">
            <w:pPr>
              <w:spacing w:before="120" w:after="120" w:line="336" w:lineRule="auto"/>
            </w:pPr>
            <w:r w:rsidRPr="00167456">
              <w:t>The program includes presentations from state, local, and regional funding organizations as well as past successful grant awardees. It is a great opportunity to become well versed in the current resilience, brownfield, and environmental funding opportunities. Hannah, Devin, and I attended last year and it was a great event. </w:t>
            </w:r>
          </w:p>
          <w:p w14:paraId="77D911FE" w14:textId="77777777" w:rsidR="00167456" w:rsidRPr="00167456" w:rsidRDefault="00167456" w:rsidP="00167456">
            <w:pPr>
              <w:spacing w:before="120" w:after="120" w:line="336" w:lineRule="auto"/>
            </w:pPr>
          </w:p>
          <w:p w14:paraId="5D9427BF" w14:textId="77777777" w:rsidR="00167456" w:rsidRPr="00167456" w:rsidRDefault="00167456" w:rsidP="00167456">
            <w:pPr>
              <w:spacing w:before="120" w:after="120" w:line="336" w:lineRule="auto"/>
            </w:pPr>
            <w:r w:rsidRPr="00167456">
              <w:t>More info and registration can be found at the following link: </w:t>
            </w:r>
            <w:hyperlink r:id="rId11" w:tgtFrame="_blank" w:tooltip="https://www.lisresilience.org/resource/3rd-annual-src-regional-funding-workshop-connecticut/" w:history="1">
              <w:r w:rsidRPr="00167456">
                <w:rPr>
                  <w:rStyle w:val="Hyperlink"/>
                  <w:color w:val="FF0000"/>
                </w:rPr>
                <w:t>https://www.lisresilience.org/resource/3rd-annual-src-</w:t>
              </w:r>
              <w:r w:rsidRPr="00167456">
                <w:rPr>
                  <w:rStyle w:val="Hyperlink"/>
                  <w:color w:val="FF0000"/>
                </w:rPr>
                <w:lastRenderedPageBreak/>
                <w:t>regional-funding-workshop-connecticut/</w:t>
              </w:r>
            </w:hyperlink>
          </w:p>
          <w:p w14:paraId="2A06AE26" w14:textId="77777777" w:rsidR="00167456" w:rsidRDefault="00167456">
            <w:pPr>
              <w:spacing w:before="120" w:after="120" w:line="336" w:lineRule="auto"/>
            </w:pPr>
          </w:p>
          <w:p w14:paraId="76BFB67D" w14:textId="77777777" w:rsidR="004A23DC" w:rsidRDefault="00000000">
            <w:pPr>
              <w:spacing w:before="120" w:after="120" w:line="336" w:lineRule="auto"/>
              <w:rPr>
                <w:rFonts w:ascii="Canva Sans Bold" w:eastAsia="Canva Sans Bold" w:hAnsi="Canva Sans Bold" w:cs="Canva Sans Bold"/>
                <w:b/>
                <w:bCs/>
                <w:color w:val="D9D9D9"/>
                <w:sz w:val="28"/>
                <w:szCs w:val="28"/>
              </w:rPr>
            </w:pPr>
            <w:r>
              <w:rPr>
                <w:rFonts w:ascii="Canva Sans Bold" w:eastAsia="Canva Sans Bold" w:hAnsi="Canva Sans Bold" w:cs="Canva Sans Bold"/>
                <w:b/>
                <w:bCs/>
                <w:color w:val="D9D9D9"/>
                <w:sz w:val="28"/>
                <w:szCs w:val="28"/>
              </w:rPr>
              <w:t xml:space="preserve">Legislative Priorities  </w:t>
            </w:r>
          </w:p>
          <w:p w14:paraId="03FFCB8D" w14:textId="5D15F462" w:rsidR="00167456" w:rsidRDefault="00167456">
            <w:pPr>
              <w:spacing w:before="120" w:after="120" w:line="336" w:lineRule="auto"/>
            </w:pPr>
            <w:r>
              <w:t xml:space="preserve">Session </w:t>
            </w:r>
            <w:proofErr w:type="gramStart"/>
            <w:r>
              <w:t>began</w:t>
            </w:r>
            <w:proofErr w:type="gramEnd"/>
            <w:r>
              <w:t xml:space="preserve"> Feb 4</w:t>
            </w:r>
            <w:r w:rsidRPr="00167456">
              <w:rPr>
                <w:vertAlign w:val="superscript"/>
              </w:rPr>
              <w:t>th</w:t>
            </w:r>
            <w:r>
              <w:t xml:space="preserve"> and </w:t>
            </w:r>
            <w:proofErr w:type="gramStart"/>
            <w:r>
              <w:t>runs</w:t>
            </w:r>
            <w:proofErr w:type="gramEnd"/>
            <w:r>
              <w:t xml:space="preserve"> until May 6</w:t>
            </w:r>
            <w:r w:rsidRPr="00167456">
              <w:rPr>
                <w:vertAlign w:val="superscript"/>
              </w:rPr>
              <w:t>th</w:t>
            </w:r>
            <w:r>
              <w:t xml:space="preserve">. </w:t>
            </w:r>
            <w:r w:rsidR="00FF1477">
              <w:t>Some</w:t>
            </w:r>
            <w:r>
              <w:t xml:space="preserve"> items</w:t>
            </w:r>
            <w:r w:rsidR="00FF1477">
              <w:t xml:space="preserve"> (of many)</w:t>
            </w:r>
            <w:r>
              <w:t xml:space="preserve"> to watch: </w:t>
            </w:r>
          </w:p>
          <w:p w14:paraId="0925FD15" w14:textId="6D405AD7" w:rsidR="00167456" w:rsidRDefault="00167456">
            <w:pPr>
              <w:spacing w:before="120" w:after="120" w:line="336" w:lineRule="auto"/>
            </w:pPr>
            <w:r>
              <w:t xml:space="preserve">HB5333- Protection of Riparian Buffers for clean water, healthy habitat, and climate resilience </w:t>
            </w:r>
          </w:p>
          <w:p w14:paraId="1C39DF37" w14:textId="7DC0BC73" w:rsidR="00167456" w:rsidRDefault="00167456">
            <w:pPr>
              <w:spacing w:before="120" w:after="120" w:line="336" w:lineRule="auto"/>
            </w:pPr>
            <w:r>
              <w:t>HB5524- Waste Materials Management (</w:t>
            </w:r>
            <w:r w:rsidR="00FF1477">
              <w:t>restores</w:t>
            </w:r>
            <w:r>
              <w:t xml:space="preserve"> assessment fee to support waste reduction initiatives that would allocate money to Sustainable Materials </w:t>
            </w:r>
            <w:proofErr w:type="spellStart"/>
            <w:r>
              <w:t>Mgmt</w:t>
            </w:r>
            <w:proofErr w:type="spellEnd"/>
            <w:r>
              <w:t>/ Recycle CT</w:t>
            </w:r>
          </w:p>
          <w:p w14:paraId="54917876" w14:textId="76EAE44B" w:rsidR="00167456" w:rsidRDefault="00167456">
            <w:pPr>
              <w:spacing w:before="120" w:after="120" w:line="336" w:lineRule="auto"/>
            </w:pPr>
            <w:r>
              <w:t>HB5248- Energy Efficiency (prioritize grid planning and reliability, protections from federal rollbacks)</w:t>
            </w:r>
          </w:p>
          <w:p w14:paraId="48024B0B" w14:textId="3CF4807F" w:rsidR="00167456" w:rsidRDefault="00167456">
            <w:pPr>
              <w:spacing w:before="120" w:after="120" w:line="336" w:lineRule="auto"/>
            </w:pPr>
            <w:r>
              <w:t>HB5145- Waste Permitting: would decrease solid waste facility regulation and limit review of permit renewals for solid waste facilities</w:t>
            </w:r>
          </w:p>
          <w:p w14:paraId="10C4F890" w14:textId="77777777" w:rsidR="00FF1477" w:rsidRDefault="00FF1477">
            <w:pPr>
              <w:spacing w:before="120" w:after="120" w:line="336" w:lineRule="auto"/>
            </w:pPr>
          </w:p>
          <w:p w14:paraId="71F76C4C" w14:textId="77777777" w:rsidR="00167456" w:rsidRDefault="00167456">
            <w:pPr>
              <w:spacing w:before="120" w:after="120" w:line="336" w:lineRule="auto"/>
            </w:pPr>
          </w:p>
          <w:p w14:paraId="0051B4A2" w14:textId="77777777" w:rsidR="00167456" w:rsidRDefault="00167456">
            <w:pPr>
              <w:spacing w:before="120" w:after="120" w:line="336" w:lineRule="auto"/>
            </w:pPr>
          </w:p>
          <w:p w14:paraId="6267D682" w14:textId="77777777" w:rsidR="00167456" w:rsidRDefault="00167456">
            <w:pPr>
              <w:spacing w:before="120" w:after="120" w:line="336" w:lineRule="auto"/>
            </w:pPr>
          </w:p>
          <w:p w14:paraId="3CD53C66" w14:textId="71E87F3B" w:rsidR="004A23DC" w:rsidRDefault="004A23DC">
            <w:pPr>
              <w:spacing w:before="120" w:after="120" w:line="336" w:lineRule="auto"/>
            </w:pPr>
          </w:p>
          <w:p w14:paraId="5B7AE91F" w14:textId="77777777" w:rsidR="004A23DC" w:rsidRDefault="00000000">
            <w:pPr>
              <w:spacing w:before="120" w:after="120" w:line="336" w:lineRule="auto"/>
            </w:pPr>
            <w:r>
              <w:rPr>
                <w:rFonts w:ascii="Canva Sans Bold" w:eastAsia="Canva Sans Bold" w:hAnsi="Canva Sans Bold" w:cs="Canva Sans Bold"/>
                <w:b/>
                <w:bCs/>
                <w:color w:val="D9D9D9"/>
                <w:sz w:val="28"/>
                <w:szCs w:val="28"/>
              </w:rPr>
              <w:t xml:space="preserve"> </w:t>
            </w:r>
          </w:p>
        </w:tc>
      </w:tr>
      <w:tr w:rsidR="004A23DC" w14:paraId="0E8EB352" w14:textId="77777777">
        <w:tblPrEx>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CellMar>
            <w:top w:w="0" w:type="dxa"/>
            <w:bottom w:w="0" w:type="dxa"/>
          </w:tblCellMar>
        </w:tblPrEx>
        <w:tc>
          <w:tcPr>
            <w:tcW w:w="2169" w:type="dxa"/>
            <w:shd w:val="clear" w:color="auto" w:fill="5C7C93"/>
            <w:tcMar>
              <w:top w:w="150" w:type="dxa"/>
              <w:left w:w="150" w:type="dxa"/>
              <w:bottom w:w="150" w:type="dxa"/>
              <w:right w:w="150" w:type="dxa"/>
            </w:tcMar>
          </w:tcPr>
          <w:p w14:paraId="76665617" w14:textId="77777777" w:rsidR="004A23DC" w:rsidRDefault="00000000">
            <w:pPr>
              <w:spacing w:before="120" w:after="120" w:line="300" w:lineRule="auto"/>
            </w:pPr>
            <w:r>
              <w:rPr>
                <w:rFonts w:ascii="Canva Sans Bold" w:eastAsia="Canva Sans Bold" w:hAnsi="Canva Sans Bold" w:cs="Canva Sans Bold"/>
                <w:b/>
                <w:bCs/>
                <w:color w:val="D9D9D9"/>
                <w:sz w:val="28"/>
                <w:szCs w:val="28"/>
              </w:rPr>
              <w:lastRenderedPageBreak/>
              <w:t xml:space="preserve">MetroCOG </w:t>
            </w:r>
          </w:p>
        </w:tc>
        <w:tc>
          <w:tcPr>
            <w:tcW w:w="6860" w:type="dxa"/>
            <w:shd w:val="clear" w:color="auto" w:fill="5C7C93"/>
            <w:tcMar>
              <w:top w:w="150" w:type="dxa"/>
              <w:left w:w="150" w:type="dxa"/>
              <w:bottom w:w="150" w:type="dxa"/>
              <w:right w:w="150" w:type="dxa"/>
            </w:tcMar>
          </w:tcPr>
          <w:p w14:paraId="4F01AE76" w14:textId="77777777" w:rsidR="004A23DC" w:rsidRDefault="00000000">
            <w:pPr>
              <w:spacing w:before="120" w:after="120" w:line="336" w:lineRule="auto"/>
            </w:pPr>
            <w:r>
              <w:rPr>
                <w:rFonts w:ascii="Canva Sans Bold" w:eastAsia="Canva Sans Bold" w:hAnsi="Canva Sans Bold" w:cs="Canva Sans Bold"/>
                <w:b/>
                <w:bCs/>
                <w:color w:val="D9D9D9"/>
                <w:sz w:val="28"/>
                <w:szCs w:val="28"/>
              </w:rPr>
              <w:t xml:space="preserve">Adjourn  </w:t>
            </w:r>
          </w:p>
        </w:tc>
      </w:tr>
    </w:tbl>
    <w:p w14:paraId="13820B16" w14:textId="77777777" w:rsidR="004A23DC" w:rsidRDefault="00000000">
      <w:pPr>
        <w:spacing w:before="120" w:after="120" w:line="336" w:lineRule="auto"/>
      </w:pPr>
      <w:r>
        <w:rPr>
          <w:rFonts w:ascii="Canva Sans" w:eastAsia="Canva Sans" w:hAnsi="Canva Sans" w:cs="Canva Sans"/>
          <w:color w:val="3B75C2"/>
          <w:sz w:val="32"/>
          <w:szCs w:val="32"/>
        </w:rPr>
        <w:t xml:space="preserve"> </w:t>
      </w:r>
    </w:p>
    <w:p w14:paraId="7EF00A9A" w14:textId="77777777" w:rsidR="004A23DC" w:rsidRDefault="00000000">
      <w:pPr>
        <w:spacing w:before="120" w:after="120"/>
      </w:pPr>
      <w:r>
        <w:br w:type="page"/>
      </w:r>
    </w:p>
    <w:p w14:paraId="59D3BE50" w14:textId="77777777" w:rsidR="004A23DC" w:rsidRDefault="00000000">
      <w:pPr>
        <w:spacing w:before="120" w:after="120" w:line="336" w:lineRule="auto"/>
      </w:pPr>
      <w:r>
        <w:rPr>
          <w:rFonts w:ascii="Canva Sans Bold" w:eastAsia="Canva Sans Bold" w:hAnsi="Canva Sans Bold" w:cs="Canva Sans Bold"/>
          <w:b/>
          <w:bCs/>
          <w:color w:val="000000"/>
          <w:sz w:val="64"/>
          <w:szCs w:val="64"/>
        </w:rPr>
        <w:lastRenderedPageBreak/>
        <w:t xml:space="preserve"> </w:t>
      </w:r>
    </w:p>
    <w:sectPr w:rsidR="004A23DC">
      <w:pgSz w:w="11910" w:h="16845"/>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12AAB8DC-2269-4307-9685-BFFEAF0582D8}"/>
    <w:embedBold r:id="rId2" w:fontKey="{80CD1C59-B7E8-4841-8C2B-07529DB39CD7}"/>
  </w:font>
  <w:font w:name="Times New Roman">
    <w:panose1 w:val="02020603050405020304"/>
    <w:charset w:val="00"/>
    <w:family w:val="roman"/>
    <w:pitch w:val="variable"/>
    <w:sig w:usb0="E0002EFF" w:usb1="C000785B" w:usb2="00000009" w:usb3="00000000" w:csb0="000001FF" w:csb1="00000000"/>
  </w:font>
  <w:font w:name="Fraunces">
    <w:charset w:val="00"/>
    <w:family w:val="auto"/>
    <w:pitch w:val="default"/>
  </w:font>
  <w:font w:name="Fraunces Bold">
    <w:charset w:val="00"/>
    <w:family w:val="auto"/>
    <w:pitch w:val="default"/>
  </w:font>
  <w:font w:name="Canva Sans">
    <w:charset w:val="00"/>
    <w:family w:val="auto"/>
    <w:pitch w:val="default"/>
    <w:embedRegular r:id="rId5" w:fontKey="{AD856188-81F9-4AF4-97E8-B2596C7926B3}"/>
  </w:font>
  <w:font w:name="Canva Sans Bold">
    <w:charset w:val="00"/>
    <w:family w:val="auto"/>
    <w:pitch w:val="default"/>
    <w:embedBold r:id="rId6" w:fontKey="{A2F40A58-1A67-4514-8BF5-55E393ED337C}"/>
  </w:font>
  <w:font w:name="Arimo">
    <w:charset w:val="00"/>
    <w:family w:val="auto"/>
    <w:pitch w:val="default"/>
    <w:embedRegular r:id="rId7" w:fontKey="{DD3786E5-C8A2-4540-9DF2-10966B75BC4E}"/>
  </w:font>
  <w:font w:name="Aptos Display">
    <w:charset w:val="00"/>
    <w:family w:val="swiss"/>
    <w:pitch w:val="variable"/>
    <w:sig w:usb0="20000287" w:usb1="00000003" w:usb2="00000000" w:usb3="00000000" w:csb0="0000019F" w:csb1="00000000"/>
    <w:embedRegular r:id="rId8" w:fontKey="{DC999659-E046-4A51-A2D4-DC884E81BB6C}"/>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03CC"/>
    <w:multiLevelType w:val="multilevel"/>
    <w:tmpl w:val="9D3ED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4C3507"/>
    <w:multiLevelType w:val="multilevel"/>
    <w:tmpl w:val="2EF48E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B142B9"/>
    <w:multiLevelType w:val="multilevel"/>
    <w:tmpl w:val="E4FE89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9434553">
    <w:abstractNumId w:val="0"/>
  </w:num>
  <w:num w:numId="2" w16cid:durableId="1755778644">
    <w:abstractNumId w:val="1"/>
  </w:num>
  <w:num w:numId="3" w16cid:durableId="2058626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doNotShadeFormData/>
  <w:characterSpacingControl w:val="doNotCompress"/>
  <w:compat>
    <w:useFELayout/>
    <w:compatSetting w:name="compatibilityMode" w:uri="http://schemas.microsoft.com/office/word" w:val="12"/>
    <w:compatSetting w:name="useWord2013TrackBottomHyphenation" w:uri="http://schemas.microsoft.com/office/word" w:val="1"/>
  </w:compat>
  <w:rsids>
    <w:rsidRoot w:val="004A23DC"/>
    <w:rsid w:val="00167456"/>
    <w:rsid w:val="004A23DC"/>
    <w:rsid w:val="008F632D"/>
    <w:rsid w:val="00C036A5"/>
    <w:rsid w:val="00EF2596"/>
    <w:rsid w:val="00FF1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82CB"/>
  <w15:docId w15:val="{BFCE2AB5-F885-4F3F-A173-E6AEC5BC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456"/>
    <w:rPr>
      <w:color w:val="467886" w:themeColor="hyperlink"/>
      <w:u w:val="single"/>
    </w:rPr>
  </w:style>
  <w:style w:type="character" w:styleId="UnresolvedMention">
    <w:name w:val="Unresolved Mention"/>
    <w:basedOn w:val="DefaultParagraphFont"/>
    <w:uiPriority w:val="99"/>
    <w:semiHidden/>
    <w:unhideWhenUsed/>
    <w:rsid w:val="00167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east-2.protection.sophos.com/?d=cudasvc.com&amp;u=aHR0cHM6Ly9saW5rcHJvdGVjdC5jdWRhc3ZjLmNvbS91cmw_YT1odHRwcyUzYSUyZiUyZnd3dy5jdGdyZWVuYmFuay5jb20lMmZjb21tdW5pdHktc29sdXRpb25zJTJmc29sYXItc29sdXRpb25zLWZvci1jb21tdW5pdGllcyUyZnNvbGFyLW1hcCUyZiZjPUUsMSx0ZGdjamRSY0VIZjF0Wl9vMEJzZTFwRG0tRS1QRXJlMG9nMzdUbkZNdGVsd1MtU3N5QUd3ajBkdEZ4SFFSMUJFZGhMNWYta2JZaTRVSjYyZ2szVEp6QTZuVFY1WFFQUWp4SEpsOGxFMjBHWEt6QSwsJnR5cG89MQ==&amp;p=m&amp;i=NjkzMDcxMTM3ZWYwNDI2MDIzM2I0MTIx&amp;t=SHpDaEY1cEE4cGhIdlphZW9uY290RXh6SzJlTDBLUmlUOEdIcDNaQktCWT0=&amp;h=0e9184658c6a4842af7012b088f7fab4&amp;s=AVNPUEhUT0NFTkNSWVBUSVajmzkWrUDSsGI1kVFL9bfKllwH65sIsB-x3RhsyCFnJ25UeFdxTmoXGyECnxEqSl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east-2.protection.sophos.com/?d=cudasvc.com&amp;u=aHR0cHM6Ly9saW5rcHJvdGVjdC5jdWRhc3ZjLmNvbS91cmw_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&amp;p=m&amp;i=NjkzMDcxMTM3ZWYwNDI2MDIzM2I0MTIx&amp;t=Qjh6Rkh3OW1QU3ZBVWZjb1NqY3ZrVUxZcmhlbmlEOUJhckpHeFhNVzJJOD0=&amp;h=0e9184658c6a4842af7012b088f7fab4&amp;s=AVNPUEhUT0NFTkNSWVBUSVajmzkWrUDSsGI1kVFL9bfKllwH65sIsB-x3RhsyCFnJ25UeFdxTmoXGyECnxEqSl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8639734296?pwd=di9QVlNQRGRTU0k0M0Nhb1V5ZzZvZz09" TargetMode="External"/><Relationship Id="rId11" Type="http://schemas.openxmlformats.org/officeDocument/2006/relationships/hyperlink" Target="https://www.lisresilience.org/resource/3rd-annual-src-regional-funding-workshop-connecticut/" TargetMode="External"/><Relationship Id="rId5" Type="http://schemas.openxmlformats.org/officeDocument/2006/relationships/image" Target="media/image1.png"/><Relationship Id="rId10" Type="http://schemas.openxmlformats.org/officeDocument/2006/relationships/hyperlink" Target="https://luma.com/36fmke4t" TargetMode="External"/><Relationship Id="rId4" Type="http://schemas.openxmlformats.org/officeDocument/2006/relationships/webSettings" Target="webSettings.xml"/><Relationship Id="rId9" Type="http://schemas.openxmlformats.org/officeDocument/2006/relationships/hyperlink" Target="https://us-east-2.protection.sophos.com/?d=cudasvc.com&amp;u=aHR0cHM6Ly9saW5rcHJvdGVjdC5jdWRhc3ZjLmNvbS91cmw_YT1odHRwcyUzYSUyZiUyZnd3dy5jdGdyZWVuYmFuay5jb20lMmZmbGVldC1lbGVjdHJpZmljYXRpb24tYWNjZWxlcmF0b3IlMmYmYz1FLDEsOVk3emdJMEFZRTF1NVF6ZkpXN1JGNWVJVXgtNVhtVU45YjZVUF9FYkdpNU56MmFoYkNfOVh3N1ZEZ2pLTTY4SVNuWnl0aV8teXEydGZfRHNaeHpPckZpSl9nV09pRUwwc2FlTTlTQ1RPRHRuSXcsLCZ0eXBvPTE=&amp;p=m&amp;i=NjkzMDcxMTM3ZWYwNDI2MDIzM2I0MTIx&amp;t=TFVvQWRvdklDOXI0blNNc3BXaThva1RXYTMvN1NXWlZ1a0swVjVYU2dsMD0=&amp;h=0e9184658c6a4842af7012b088f7fab4&amp;s=AVNPUEhUT0NFTkNSWVBUSVajmzkWrUDSsGI1kVFL9bfKllwH65sIsB-x3RhsyCFnJ25UeFdxTmoXGyECnxEqSlk"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1376</Words>
  <Characters>10545</Characters>
  <Application>Microsoft Office Word</Application>
  <DocSecurity>0</DocSecurity>
  <Lines>878</Lines>
  <Paragraphs>496</Paragraphs>
  <ScaleCrop>false</ScaleCrop>
  <HeadingPairs>
    <vt:vector size="2" baseType="variant">
      <vt:variant>
        <vt:lpstr>Title</vt:lpstr>
      </vt:variant>
      <vt:variant>
        <vt:i4>1</vt:i4>
      </vt:variant>
    </vt:vector>
  </HeadingPairs>
  <TitlesOfParts>
    <vt:vector size="1" baseType="lpstr">
      <vt:lpstr>CTAC March 2026 Draft Agenda</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CTAC March 2026 Draft Agenda</dc:title>
  <dc:creator>Apache POI</dc:creator>
  <cp:lastModifiedBy>Hannah Reichle</cp:lastModifiedBy>
  <cp:revision>2</cp:revision>
  <dcterms:created xsi:type="dcterms:W3CDTF">2026-03-16T19:50:00Z</dcterms:created>
  <dcterms:modified xsi:type="dcterms:W3CDTF">2026-03-16T19:50:00Z</dcterms:modified>
</cp:coreProperties>
</file>